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9B60" w14:textId="4C0ED710" w:rsidR="007C7BF8" w:rsidRDefault="007C7BF8" w:rsidP="007C7BF8">
      <w:pPr>
        <w:rPr>
          <w:sz w:val="22"/>
          <w:szCs w:val="22"/>
        </w:rPr>
      </w:pPr>
    </w:p>
    <w:p w14:paraId="543F5DF1" w14:textId="02A144D1" w:rsidR="00996EF7" w:rsidRPr="00930BA0" w:rsidRDefault="00996EF7" w:rsidP="00996EF7">
      <w:pPr>
        <w:spacing w:line="360" w:lineRule="auto"/>
        <w:jc w:val="center"/>
        <w:rPr>
          <w:lang w:val="sk-SK"/>
        </w:rPr>
      </w:pPr>
      <w:r w:rsidRPr="00930BA0">
        <w:rPr>
          <w:rFonts w:ascii="Times New Roman" w:hAnsi="Times New Roman"/>
          <w:b/>
          <w:bCs/>
          <w:sz w:val="28"/>
          <w:szCs w:val="28"/>
          <w:lang w:val="sk-SK"/>
        </w:rPr>
        <w:t xml:space="preserve">Koncepcia ochrany </w:t>
      </w:r>
      <w:r w:rsidR="00EA7758" w:rsidRPr="00EA7758">
        <w:rPr>
          <w:rFonts w:ascii="Times New Roman" w:hAnsi="Times New Roman"/>
          <w:b/>
          <w:bCs/>
          <w:sz w:val="28"/>
          <w:szCs w:val="28"/>
          <w:lang w:val="sk-SK"/>
        </w:rPr>
        <w:t xml:space="preserve">Ria Payment Institution, E.P., S.A.U </w:t>
      </w:r>
      <w:r w:rsidRPr="00930BA0">
        <w:rPr>
          <w:rFonts w:ascii="Times New Roman" w:hAnsi="Times New Roman"/>
          <w:b/>
          <w:bCs/>
          <w:sz w:val="28"/>
          <w:szCs w:val="28"/>
          <w:lang w:val="sk-SK"/>
        </w:rPr>
        <w:t>pred legalizáciou a financovaním terorizmu a základné princípy AML/CTF</w:t>
      </w:r>
    </w:p>
    <w:p w14:paraId="1E03BC7F" w14:textId="77777777" w:rsidR="00996EF7" w:rsidRPr="00930BA0" w:rsidRDefault="00996EF7" w:rsidP="00996EF7">
      <w:pPr>
        <w:spacing w:line="360" w:lineRule="auto"/>
        <w:jc w:val="center"/>
        <w:rPr>
          <w:rFonts w:ascii="Times New Roman" w:hAnsi="Times New Roman"/>
          <w:b/>
          <w:bCs/>
          <w:szCs w:val="24"/>
          <w:lang w:val="sk-SK"/>
        </w:rPr>
      </w:pPr>
    </w:p>
    <w:p w14:paraId="106314BA" w14:textId="77777777" w:rsidR="00996EF7" w:rsidRPr="00930BA0" w:rsidRDefault="00996EF7" w:rsidP="00996E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color w:val="EA4E00"/>
          <w:sz w:val="24"/>
          <w:szCs w:val="24"/>
          <w:lang w:val="sk-SK"/>
        </w:rPr>
      </w:pPr>
      <w:r w:rsidRPr="00930BA0">
        <w:rPr>
          <w:rFonts w:ascii="Times New Roman" w:hAnsi="Times New Roman"/>
          <w:b/>
          <w:bCs/>
          <w:color w:val="EA4E00"/>
          <w:sz w:val="24"/>
          <w:szCs w:val="24"/>
          <w:lang w:val="sk-SK"/>
        </w:rPr>
        <w:t>ÚVOD</w:t>
      </w:r>
    </w:p>
    <w:p w14:paraId="62E89478" w14:textId="17E4A6DA" w:rsidR="007D3525" w:rsidRDefault="007D3525" w:rsidP="00996EF7">
      <w:pPr>
        <w:spacing w:line="360" w:lineRule="auto"/>
        <w:jc w:val="both"/>
        <w:rPr>
          <w:rFonts w:ascii="Times New Roman" w:hAnsi="Times New Roman"/>
          <w:szCs w:val="24"/>
          <w:lang w:val="sk-SK"/>
        </w:rPr>
      </w:pPr>
      <w:r w:rsidRPr="007D3525">
        <w:rPr>
          <w:rFonts w:ascii="Times New Roman" w:hAnsi="Times New Roman"/>
          <w:szCs w:val="24"/>
          <w:lang w:val="sk-SK"/>
        </w:rPr>
        <w:t>Ria Payment Institution, E.P., S.A.U , je spoločnosť poskytujúca platobné služby registrovaná na adrese Calle Cantabria 2 - 2A1, Alcobendas, 28108, Madrid, Španielsko pod registračným číslom A80696792</w:t>
      </w:r>
      <w:r w:rsidR="00EA7758" w:rsidRPr="00EA7758">
        <w:rPr>
          <w:rFonts w:ascii="Times New Roman" w:hAnsi="Times New Roman"/>
          <w:szCs w:val="24"/>
          <w:lang w:val="sk-SK"/>
        </w:rPr>
        <w:t xml:space="preserve">. </w:t>
      </w:r>
      <w:r w:rsidRPr="007D3525">
        <w:rPr>
          <w:rFonts w:ascii="Times New Roman" w:hAnsi="Times New Roman"/>
          <w:szCs w:val="24"/>
          <w:lang w:val="sk-SK"/>
        </w:rPr>
        <w:t>Ria Payment Institution, E.P., S.A.U je autorizovaný platobný subjekt registrovaný v</w:t>
      </w:r>
      <w:r w:rsidR="00EA7758" w:rsidRPr="00EA7758">
        <w:rPr>
          <w:rFonts w:ascii="Times New Roman" w:hAnsi="Times New Roman"/>
          <w:szCs w:val="24"/>
          <w:lang w:val="sk-SK"/>
        </w:rPr>
        <w:t>я</w:t>
      </w:r>
      <w:r w:rsidRPr="007D3525">
        <w:rPr>
          <w:rFonts w:ascii="Times New Roman" w:hAnsi="Times New Roman"/>
          <w:szCs w:val="24"/>
          <w:lang w:val="sk-SK"/>
        </w:rPr>
        <w:t xml:space="preserve"> registri špeciálnych subjektov Španielskej banky pod číslom 6842</w:t>
      </w:r>
      <w:r>
        <w:rPr>
          <w:rFonts w:ascii="Times New Roman" w:hAnsi="Times New Roman"/>
          <w:szCs w:val="24"/>
          <w:lang w:val="sk-SK"/>
        </w:rPr>
        <w:t xml:space="preserve">. </w:t>
      </w:r>
    </w:p>
    <w:p w14:paraId="441EED13" w14:textId="78BDBBE4" w:rsidR="00996EF7" w:rsidRDefault="00EA7758" w:rsidP="00996EF7">
      <w:pPr>
        <w:spacing w:line="360" w:lineRule="auto"/>
        <w:jc w:val="both"/>
        <w:rPr>
          <w:rFonts w:ascii="Times New Roman" w:hAnsi="Times New Roman"/>
          <w:szCs w:val="24"/>
          <w:lang w:val="sk-SK"/>
        </w:rPr>
      </w:pPr>
      <w:r w:rsidRPr="00EA7758">
        <w:rPr>
          <w:rFonts w:ascii="Times New Roman" w:hAnsi="Times New Roman"/>
          <w:szCs w:val="24"/>
          <w:lang w:val="sk-SK"/>
        </w:rPr>
        <w:t>F</w:t>
      </w:r>
      <w:r w:rsidRPr="00EA7758">
        <w:rPr>
          <w:rFonts w:ascii="Times New Roman" w:hAnsi="Times New Roman"/>
          <w:szCs w:val="24"/>
          <w:lang w:val="sk-SK"/>
        </w:rPr>
        <w:t>inančná inštitúcia</w:t>
      </w:r>
      <w:r w:rsidRPr="00EA7758">
        <w:rPr>
          <w:rFonts w:ascii="Times New Roman" w:hAnsi="Times New Roman"/>
          <w:szCs w:val="24"/>
          <w:lang w:val="sk-SK"/>
        </w:rPr>
        <w:t xml:space="preserve"> </w:t>
      </w:r>
      <w:r w:rsidR="00996EF7" w:rsidRPr="00930BA0">
        <w:rPr>
          <w:rFonts w:ascii="Times New Roman" w:hAnsi="Times New Roman"/>
          <w:szCs w:val="24"/>
          <w:lang w:val="sk-SK"/>
        </w:rPr>
        <w:t xml:space="preserve">vydáva túto koncepciu ochrany pred legalizáciou a financovaním terorizmu s cieľom zabrániť zneužitiu spoločnosti pred legalizáciou príjmov z trestnej činnosti a financovania terorizmu. </w:t>
      </w:r>
    </w:p>
    <w:p w14:paraId="2DC30BD7" w14:textId="77777777" w:rsidR="00BF5ECC" w:rsidRPr="00930BA0" w:rsidRDefault="00BF5ECC" w:rsidP="00996EF7">
      <w:pPr>
        <w:spacing w:line="360" w:lineRule="auto"/>
        <w:jc w:val="both"/>
        <w:rPr>
          <w:lang w:val="sk-SK"/>
        </w:rPr>
      </w:pPr>
    </w:p>
    <w:p w14:paraId="7179D302" w14:textId="77777777" w:rsidR="00996EF7" w:rsidRPr="00930BA0" w:rsidRDefault="00996EF7" w:rsidP="00996E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color w:val="EA4E00"/>
          <w:sz w:val="24"/>
          <w:szCs w:val="24"/>
          <w:lang w:val="sk-SK"/>
        </w:rPr>
      </w:pPr>
      <w:r w:rsidRPr="00930BA0">
        <w:rPr>
          <w:rFonts w:ascii="Times New Roman" w:hAnsi="Times New Roman"/>
          <w:b/>
          <w:bCs/>
          <w:color w:val="EA4E00"/>
          <w:sz w:val="24"/>
          <w:szCs w:val="24"/>
          <w:lang w:val="sk-SK"/>
        </w:rPr>
        <w:t>KONCEPCIA OCHRANY</w:t>
      </w:r>
    </w:p>
    <w:p w14:paraId="69A0DD26" w14:textId="0E16C842" w:rsidR="00996EF7" w:rsidRPr="00930BA0" w:rsidRDefault="00996EF7" w:rsidP="00996EF7">
      <w:pPr>
        <w:spacing w:line="360" w:lineRule="auto"/>
        <w:jc w:val="both"/>
        <w:rPr>
          <w:lang w:val="sk-SK"/>
        </w:rPr>
      </w:pPr>
      <w:r w:rsidRPr="00930BA0">
        <w:rPr>
          <w:rFonts w:ascii="Times New Roman" w:hAnsi="Times New Roman"/>
          <w:szCs w:val="24"/>
          <w:lang w:val="sk-SK"/>
        </w:rPr>
        <w:t>Táto koncepcia ochrany formuluje základné princípy v boji proti legalizácií príjmov z trestnej činnosti a financovania terorizmu, pričom pri spracovaní boli starostlivo zvážené charakter svojich obchodných činností, vrátane štruktúry klientov a ich rizikového profilu, rozsah činností a produktov, geografické riziká a vyhodnotila ich kontexte s nimi súvisiacich rizík v oblasti legalizácie príjmov z trestnej činnosti a financovania terorizmu. Koncepcia je spracovaná v súlade so zákonom 2</w:t>
      </w:r>
      <w:r w:rsidR="00AB68AF">
        <w:rPr>
          <w:rFonts w:ascii="Times New Roman" w:hAnsi="Times New Roman"/>
          <w:szCs w:val="24"/>
          <w:lang w:val="sk-SK"/>
        </w:rPr>
        <w:t>97</w:t>
      </w:r>
      <w:r w:rsidRPr="00930BA0">
        <w:rPr>
          <w:rFonts w:ascii="Times New Roman" w:hAnsi="Times New Roman"/>
          <w:szCs w:val="24"/>
          <w:lang w:val="sk-SK"/>
        </w:rPr>
        <w:t>/200</w:t>
      </w:r>
      <w:r w:rsidR="00AB68AF">
        <w:rPr>
          <w:rFonts w:ascii="Times New Roman" w:hAnsi="Times New Roman"/>
          <w:szCs w:val="24"/>
          <w:lang w:val="sk-SK"/>
        </w:rPr>
        <w:t>8</w:t>
      </w:r>
      <w:r w:rsidRPr="00930BA0">
        <w:rPr>
          <w:rFonts w:ascii="Times New Roman" w:hAnsi="Times New Roman"/>
          <w:szCs w:val="24"/>
          <w:lang w:val="sk-SK"/>
        </w:rPr>
        <w:t xml:space="preserve"> o ochrane pred legalizáciou príjmov z trestnej činnosti a o ochrane pred financovaním terorizmu ako aj čl. 2 Metodického usmernenia Národnej banky Slovenska 4/2019. </w:t>
      </w:r>
    </w:p>
    <w:p w14:paraId="5B50EA85" w14:textId="4ADFF61F" w:rsidR="00996EF7" w:rsidRPr="00930BA0" w:rsidRDefault="00996EF7" w:rsidP="00996EF7">
      <w:pPr>
        <w:spacing w:line="360" w:lineRule="auto"/>
        <w:jc w:val="both"/>
        <w:rPr>
          <w:rFonts w:ascii="Times New Roman" w:hAnsi="Times New Roman"/>
          <w:szCs w:val="24"/>
          <w:lang w:val="sk-SK"/>
        </w:rPr>
      </w:pPr>
      <w:r w:rsidRPr="00930BA0">
        <w:rPr>
          <w:rFonts w:ascii="Times New Roman" w:hAnsi="Times New Roman"/>
          <w:szCs w:val="24"/>
          <w:lang w:val="sk-SK"/>
        </w:rPr>
        <w:t>Koncepcia ochrany je súčasťou organizačnej štruktúry finančnej inštitúcie a jej agentov, je trvale presadzovaná a verejne dostupná pre klientov</w:t>
      </w:r>
      <w:r w:rsidR="00694D3F" w:rsidRPr="00694D3F">
        <w:rPr>
          <w:rFonts w:ascii="Times New Roman" w:hAnsi="Times New Roman"/>
          <w:szCs w:val="24"/>
          <w:lang w:val="sk-SK"/>
        </w:rPr>
        <w:t xml:space="preserve"> </w:t>
      </w:r>
      <w:r w:rsidRPr="00930BA0">
        <w:rPr>
          <w:rFonts w:ascii="Times New Roman" w:hAnsi="Times New Roman"/>
          <w:szCs w:val="24"/>
          <w:lang w:val="sk-SK"/>
        </w:rPr>
        <w:t>agentov. Za celkovú ochranu pred legalizáciou z príjmov z trestnej činnosti a pred financovaním terorizmu zodpovedá finančná inštitúcia. Určená osoba zodpovedá za praktickú realizáciu činností v oblasti ochrany finančnej inštitúcie a jej agentov (t. j. výkon bežných činností zabezpečujúcich napĺňanie koncepcie ochrany, nahlasovanie neobvyklých obchodných operácií a priebežný styk s Národnou bankou Slovenska a Finančnej spravodajskej jednotky.</w:t>
      </w:r>
      <w:r w:rsidR="005F2E6D">
        <w:rPr>
          <w:rFonts w:ascii="Times New Roman" w:hAnsi="Times New Roman"/>
          <w:szCs w:val="24"/>
          <w:lang w:val="sk-SK"/>
        </w:rPr>
        <w:t>)</w:t>
      </w:r>
      <w:r w:rsidRPr="00930BA0">
        <w:rPr>
          <w:rFonts w:ascii="Times New Roman" w:hAnsi="Times New Roman"/>
          <w:szCs w:val="24"/>
          <w:lang w:val="sk-SK"/>
        </w:rPr>
        <w:t xml:space="preserve"> V prípade neobvyklých alebo podozrivých činností agent neodkladne informuje finančnú inštitúciu a tá tieto skutočnosti preverí. V prípade potvrdenia tohto podozrenia, určená osoba informuje FSJ a doručí spätnú väzbu aj agentovi.</w:t>
      </w:r>
    </w:p>
    <w:p w14:paraId="4A41E9DA" w14:textId="77777777" w:rsidR="00996EF7" w:rsidRPr="00930BA0" w:rsidRDefault="00996EF7" w:rsidP="00996EF7">
      <w:pPr>
        <w:spacing w:line="360" w:lineRule="auto"/>
        <w:jc w:val="both"/>
        <w:rPr>
          <w:rFonts w:ascii="Times New Roman" w:hAnsi="Times New Roman"/>
          <w:szCs w:val="24"/>
          <w:lang w:val="sk-SK"/>
        </w:rPr>
      </w:pPr>
      <w:r w:rsidRPr="00930BA0">
        <w:rPr>
          <w:rFonts w:ascii="Times New Roman" w:hAnsi="Times New Roman"/>
          <w:szCs w:val="24"/>
          <w:lang w:val="sk-SK"/>
        </w:rPr>
        <w:t xml:space="preserve"> </w:t>
      </w:r>
    </w:p>
    <w:p w14:paraId="5DB51B7F" w14:textId="77777777" w:rsidR="00996EF7" w:rsidRPr="00930BA0" w:rsidRDefault="00996EF7" w:rsidP="00996E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color w:val="EA4E00"/>
          <w:sz w:val="24"/>
          <w:szCs w:val="24"/>
          <w:lang w:val="sk-SK"/>
        </w:rPr>
      </w:pPr>
      <w:r w:rsidRPr="00930BA0">
        <w:rPr>
          <w:rFonts w:ascii="Times New Roman" w:hAnsi="Times New Roman"/>
          <w:b/>
          <w:bCs/>
          <w:color w:val="EA4E00"/>
          <w:sz w:val="24"/>
          <w:szCs w:val="24"/>
          <w:lang w:val="sk-SK"/>
        </w:rPr>
        <w:lastRenderedPageBreak/>
        <w:t>ORGANIZAČNÉ ZABEZPEČENIE</w:t>
      </w:r>
    </w:p>
    <w:p w14:paraId="07ECC609" w14:textId="4455AC26" w:rsidR="00996EF7" w:rsidRDefault="00996EF7" w:rsidP="00996EF7">
      <w:pPr>
        <w:spacing w:line="360" w:lineRule="auto"/>
        <w:jc w:val="both"/>
        <w:rPr>
          <w:rFonts w:ascii="Times New Roman" w:hAnsi="Times New Roman"/>
          <w:szCs w:val="24"/>
          <w:lang w:val="sk-SK"/>
        </w:rPr>
      </w:pPr>
      <w:r w:rsidRPr="00930BA0">
        <w:rPr>
          <w:rFonts w:ascii="Times New Roman" w:hAnsi="Times New Roman"/>
          <w:szCs w:val="24"/>
          <w:lang w:val="sk-SK"/>
        </w:rPr>
        <w:t xml:space="preserve">Určená osoba ako aj tím compliance sú zamestnancami finančnej inštitúcie. Na odvolanie určenej osoby sa vyžaduje rozhodnutie tímu compliance. Organizačná štruktúra zabezpečuje efektívny a nezávislý výkon činností, najmä oddelenie činnosti určenej osoby od výkonu obchodov a určená osoba má neobmedzený prístup ku všetkým dokumentom a databázam finančnej inštitúcie, tím compliance a určená osoba samostatne rozhodujú pri posudzovaní neobvyklých obchodných operácií klientov ako aj o zasielaní hlásení týchto operácií Finančnej spravodajskej jednotke. Program vlastnej činnosti zameraných na proti legalizácií príjmov z trestnej činnosti a o ochrane pred financovaním terorizmu ako aj ďalších interných právnych predpisov v tejto oblasti, ktoré podrobne popisujú realizáciu opatrení na prevenciu a odhaľovanie prípadných pokusov o legalizáciu z </w:t>
      </w:r>
      <w:r w:rsidR="00115612" w:rsidRPr="00930BA0">
        <w:rPr>
          <w:rFonts w:ascii="Times New Roman" w:hAnsi="Times New Roman"/>
          <w:szCs w:val="24"/>
          <w:lang w:val="sk-SK"/>
        </w:rPr>
        <w:t>príjmov</w:t>
      </w:r>
      <w:r w:rsidRPr="00930BA0">
        <w:rPr>
          <w:rFonts w:ascii="Times New Roman" w:hAnsi="Times New Roman"/>
          <w:szCs w:val="24"/>
          <w:lang w:val="sk-SK"/>
        </w:rPr>
        <w:t xml:space="preserve"> z trestnej činnosti a financovania terorizmu na rôznych úrovniach a s ktorým sú v potrebnom rozsahu oboznámení všetci zamestnanci finančnej inštitúcie ako aj jej agenti. RIA PAYMENT INSTITUTION, EP S. A. U. má riadne vytvorený systém realizácie odbornej prípravy zamestnancov v oblasti prevencie pred legalizáciou príjmov  trestnej činnosti a financovaním terorizmu, v rámci ktorej je každý nový zamestnanec vyškolený na plnenie povinností v tejto oblasti, pričom každoročne prebieha odborná príprava zamestnancov a agentov s cieľom, aby mali všetky potrebné informácie a znalosti nevyhnutné na plnenie ich povinnosti v spojitosti s ochranou pred legalizáciou príjmov z trestnej činnosti a financovaním terorizmu. </w:t>
      </w:r>
    </w:p>
    <w:p w14:paraId="1CC0E65D" w14:textId="77777777" w:rsidR="003F592E" w:rsidRPr="00930BA0" w:rsidRDefault="003F592E" w:rsidP="00996EF7">
      <w:pPr>
        <w:spacing w:line="360" w:lineRule="auto"/>
        <w:jc w:val="both"/>
        <w:rPr>
          <w:lang w:val="sk-SK"/>
        </w:rPr>
      </w:pPr>
    </w:p>
    <w:p w14:paraId="2175F427" w14:textId="77777777" w:rsidR="00996EF7" w:rsidRPr="00930BA0" w:rsidRDefault="00996EF7" w:rsidP="00996EF7">
      <w:pPr>
        <w:spacing w:line="360" w:lineRule="auto"/>
        <w:ind w:left="360"/>
        <w:jc w:val="both"/>
        <w:rPr>
          <w:rFonts w:ascii="Times New Roman" w:hAnsi="Times New Roman"/>
          <w:b/>
          <w:bCs/>
          <w:color w:val="EA4E00"/>
          <w:szCs w:val="24"/>
          <w:lang w:val="sk-SK"/>
        </w:rPr>
      </w:pPr>
      <w:r w:rsidRPr="00930BA0">
        <w:rPr>
          <w:rFonts w:ascii="Times New Roman" w:hAnsi="Times New Roman"/>
          <w:b/>
          <w:bCs/>
          <w:color w:val="EA4E00"/>
          <w:szCs w:val="24"/>
          <w:lang w:val="sk-SK"/>
        </w:rPr>
        <w:t>4. POZNAJ SVOJHO KLIENTA A HODNOTENIE RIZÍK</w:t>
      </w:r>
    </w:p>
    <w:p w14:paraId="45244E70" w14:textId="77777777" w:rsidR="00996EF7" w:rsidRPr="00930BA0" w:rsidRDefault="00996EF7" w:rsidP="00996EF7">
      <w:pPr>
        <w:pStyle w:val="NormalWeb"/>
        <w:shd w:val="clear" w:color="auto" w:fill="FFFFFF"/>
        <w:spacing w:before="0" w:after="300" w:line="360" w:lineRule="auto"/>
        <w:jc w:val="both"/>
        <w:rPr>
          <w:color w:val="000000"/>
          <w:lang w:val="sk-SK"/>
        </w:rPr>
      </w:pPr>
      <w:r w:rsidRPr="00930BA0">
        <w:rPr>
          <w:color w:val="000000"/>
          <w:lang w:val="sk-SK"/>
        </w:rPr>
        <w:t>Finančná inštitúcia vykonáva dôsledné zisťovanie údajov o svojich klientoch relevantných z pohľadu ochrany pred legalizáciou príjmov z trestnej činnosti a financovania terorizmu, v rámci ktorej zbiera v potrebnom rozsahu údaje potrebné na jednoznačnú identifikáciu klienta a jej overenie, identifikáciu konečného užívateľa výhod a jej overenie, získanie informácií o účele a plánovanej povahe obchodného vzťahu, zistenie, či klient alebo konečný užívateľ výhod klienta je politicky exponovanou osobou alebo sankcionovanou osobou, prípadne aj ďalších údajov v závislosti od hodnotenia rizík tohto klienta.</w:t>
      </w:r>
    </w:p>
    <w:p w14:paraId="1CE20976" w14:textId="77777777" w:rsidR="00996EF7" w:rsidRPr="00930BA0" w:rsidRDefault="00996EF7" w:rsidP="00996EF7">
      <w:pPr>
        <w:pStyle w:val="NormalWeb"/>
        <w:shd w:val="clear" w:color="auto" w:fill="FFFFFF"/>
        <w:spacing w:before="0" w:after="300" w:line="360" w:lineRule="auto"/>
        <w:jc w:val="both"/>
        <w:rPr>
          <w:lang w:val="sk-SK"/>
        </w:rPr>
      </w:pPr>
      <w:r w:rsidRPr="00930BA0">
        <w:rPr>
          <w:color w:val="000000"/>
          <w:lang w:val="sk-SK"/>
        </w:rPr>
        <w:t xml:space="preserve">RIA PAYMENT INSTITUTION EP, S. A. U. má zavedený systém hodnotenia rizík prania špinavých peňazí a financovania terorizmu. Riziká sú vyhodnocované vo vzťahu ku každému klientovi a na základe ich vyhodnotenia je zabezpečovaná primeraná starostlivosť vo vzťahu </w:t>
      </w:r>
      <w:r w:rsidRPr="00930BA0">
        <w:rPr>
          <w:color w:val="000000"/>
          <w:lang w:val="sk-SK"/>
        </w:rPr>
        <w:lastRenderedPageBreak/>
        <w:t>ku každému klientovi. Postupy pri posudzovaní klientov a ich obchodných operácií sú založené na základe rizikovo orientovaného prístupu a hodnotenia zohľadňujúceho mieru poznania klienta, charakter produktov využívaných klientom a úroveň starostlivosti zodpovedajúcu jeho rizikovému profilu. V súlade s regulačnými požiadavkami  vykonáva v pravidelných časových intervaloch aj aktualizáciu získaných údajov o klientoch a na základe nových poznatkov aj prehodnotenie ich rizikového profilu.</w:t>
      </w:r>
    </w:p>
    <w:p w14:paraId="2691C77D" w14:textId="77777777" w:rsidR="00996EF7" w:rsidRPr="00930BA0" w:rsidRDefault="00996EF7" w:rsidP="00996EF7">
      <w:pPr>
        <w:spacing w:line="360" w:lineRule="auto"/>
        <w:ind w:left="360"/>
        <w:jc w:val="both"/>
        <w:rPr>
          <w:rFonts w:ascii="Times New Roman" w:hAnsi="Times New Roman"/>
          <w:b/>
          <w:bCs/>
          <w:color w:val="EA4E00"/>
          <w:szCs w:val="24"/>
          <w:lang w:val="sk-SK"/>
        </w:rPr>
      </w:pPr>
      <w:r w:rsidRPr="00930BA0">
        <w:rPr>
          <w:rFonts w:ascii="Times New Roman" w:hAnsi="Times New Roman"/>
          <w:b/>
          <w:bCs/>
          <w:color w:val="EA4E00"/>
          <w:szCs w:val="24"/>
          <w:lang w:val="sk-SK"/>
        </w:rPr>
        <w:t>5. POSUDZOVANIE OBCHODOV</w:t>
      </w:r>
    </w:p>
    <w:p w14:paraId="419ED529" w14:textId="183C1194" w:rsidR="00996EF7" w:rsidRPr="00930BA0" w:rsidRDefault="00996EF7" w:rsidP="00996EF7">
      <w:pPr>
        <w:pStyle w:val="NormalWeb"/>
        <w:shd w:val="clear" w:color="auto" w:fill="FFFFFF"/>
        <w:spacing w:before="0" w:after="300" w:line="360" w:lineRule="auto"/>
        <w:jc w:val="both"/>
        <w:rPr>
          <w:color w:val="000000"/>
          <w:lang w:val="sk-SK"/>
        </w:rPr>
      </w:pPr>
      <w:r w:rsidRPr="00930BA0">
        <w:rPr>
          <w:color w:val="000000"/>
          <w:lang w:val="sk-SK"/>
        </w:rPr>
        <w:t>Finančná inštitúcia implementovala účinný mechanizmus zameraný na zisťovanie situácií a obchodov, ktorých cieľom je legalizovať príjmy z trestnej činnosti alebo financovať terorizmus. Za týmto účelom odborne vyškolení zamestnanci na základe získaných údajov a poznatkov o klientovi posudzujú dôsledne každý obchodný vzťah, a to pred jeho uzavretím, ako aj počas jeho trvania. Finančná inštitúcia ďalej súčasne vykonáva aj priebežný monitoring vykonávaných platobných operácií prostredníctvom špecializovaných softvérových nástrojov.</w:t>
      </w:r>
    </w:p>
    <w:p w14:paraId="05645C11" w14:textId="77777777" w:rsidR="00996EF7" w:rsidRPr="00930BA0" w:rsidRDefault="00996EF7" w:rsidP="00996EF7">
      <w:pPr>
        <w:pStyle w:val="NormalWeb"/>
        <w:shd w:val="clear" w:color="auto" w:fill="FFFFFF"/>
        <w:spacing w:before="0" w:after="300" w:line="360" w:lineRule="auto"/>
        <w:jc w:val="both"/>
        <w:rPr>
          <w:color w:val="000000"/>
          <w:lang w:val="sk-SK"/>
        </w:rPr>
      </w:pPr>
      <w:r w:rsidRPr="00930BA0">
        <w:rPr>
          <w:color w:val="000000"/>
          <w:lang w:val="sk-SK"/>
        </w:rPr>
        <w:t>RIA PAYMENT INSTITUTION EP S. A. U. plní povinnosti vyplývajúce zo zákonov, ktoré ukladajú povinnosti v oblasti medzinárodných sankcií zabezpečujúcich mier a bezpečnosť. Na základe neho pred aj počas trvania obchodného vzťahu s klientom identifikuje s využitím špecializovaných nástrojov a služieb, či klient nie je vedený na sankčnom zozname. Finančná inštitúcia má takisto implementované pravidlá, ktoré definujú postupy zamestnancov v prípade, ak sú voči klientovi alebo voči ktorejkoľvek s ním súvisiacich osôb uplatňované medzinárodné sankcie alebo sa uplatňovaná medzinárodná sankcia.</w:t>
      </w:r>
    </w:p>
    <w:p w14:paraId="762CA74D" w14:textId="77777777" w:rsidR="00996EF7" w:rsidRPr="00930BA0" w:rsidRDefault="00996EF7" w:rsidP="00996EF7">
      <w:pPr>
        <w:pStyle w:val="NormalWeb"/>
        <w:shd w:val="clear" w:color="auto" w:fill="FFFFFF"/>
        <w:spacing w:before="0" w:after="300" w:line="360" w:lineRule="auto"/>
        <w:rPr>
          <w:b/>
          <w:bCs/>
          <w:color w:val="EA4E00"/>
          <w:lang w:val="sk-SK"/>
        </w:rPr>
      </w:pPr>
      <w:r w:rsidRPr="00930BA0">
        <w:rPr>
          <w:b/>
          <w:bCs/>
          <w:color w:val="EA4E00"/>
          <w:lang w:val="sk-SK"/>
        </w:rPr>
        <w:t>6. ZISŤOVANIE A HLÁSENIE NEOBVYKLÝCH OBCHODNÝCH OPERÁCIÍ</w:t>
      </w:r>
    </w:p>
    <w:p w14:paraId="2A1B3ED8" w14:textId="77777777" w:rsidR="00996EF7" w:rsidRPr="00930BA0" w:rsidRDefault="00996EF7" w:rsidP="00996EF7">
      <w:pPr>
        <w:pStyle w:val="NormalWeb"/>
        <w:shd w:val="clear" w:color="auto" w:fill="FFFFFF"/>
        <w:spacing w:before="0" w:after="300" w:line="360" w:lineRule="auto"/>
        <w:jc w:val="both"/>
        <w:rPr>
          <w:color w:val="000000"/>
          <w:lang w:val="sk-SK"/>
        </w:rPr>
      </w:pPr>
      <w:r w:rsidRPr="00930BA0">
        <w:rPr>
          <w:color w:val="000000"/>
          <w:lang w:val="sk-SK"/>
        </w:rPr>
        <w:t xml:space="preserve">RIA PAYMENT INSTITUTION EP, S.A.U.  venuje osobitnú pozornosť všetkým zložitým, nezvyčajne veľkým obchodom a všetkým obchodom s nezvyčajnou povahou, ktoré nemajú zrejmý ekonomický účel alebo zrejmý zákonný účel, s cieľom v maximálnej možnej miere preskúmať účel týchto obchodov. V prípade zistenia akýchkoľvek podozrivých okolností ma platobná inštitúcia jednoznačne definované pravidlá, na základe ktorej zamestnanec, ktorý v spojitosti s obchodnou operáciou identifikoval podozrenie, vykoná interné hlásenie a postúpi potrebné informácie špecializovaným zamestnancom, ktorí obchodnú operáciu vyhodnotia podľa definovaných štandardov a pravidiel z hľadiska jej neobvyklosti. Všetky obchodné </w:t>
      </w:r>
      <w:r w:rsidRPr="00930BA0">
        <w:rPr>
          <w:color w:val="000000"/>
          <w:lang w:val="sk-SK"/>
        </w:rPr>
        <w:lastRenderedPageBreak/>
        <w:t xml:space="preserve">operácie, ktoré sú posúdené ako neobvyklé, sú bezodkladne zákonom stanoveným spôsobom ohlásené Finančnej spravodajskej jednotke. </w:t>
      </w:r>
    </w:p>
    <w:p w14:paraId="7246A055" w14:textId="77777777" w:rsidR="00996EF7" w:rsidRPr="00930BA0" w:rsidRDefault="00996EF7" w:rsidP="00996EF7">
      <w:pPr>
        <w:pStyle w:val="NormalWeb"/>
        <w:shd w:val="clear" w:color="auto" w:fill="FFFFFF"/>
        <w:spacing w:before="0" w:after="300" w:line="360" w:lineRule="auto"/>
        <w:rPr>
          <w:b/>
          <w:bCs/>
          <w:color w:val="EA4E00"/>
          <w:lang w:val="sk-SK"/>
        </w:rPr>
      </w:pPr>
      <w:r w:rsidRPr="00930BA0">
        <w:rPr>
          <w:b/>
          <w:bCs/>
          <w:color w:val="EA4E00"/>
          <w:lang w:val="sk-SK"/>
        </w:rPr>
        <w:t>7. SYSTÉM VNÚTORNEJ KONTROLY</w:t>
      </w:r>
    </w:p>
    <w:p w14:paraId="1A81E21B" w14:textId="77777777" w:rsidR="00996EF7" w:rsidRPr="00930BA0" w:rsidRDefault="00996EF7" w:rsidP="00996EF7">
      <w:pPr>
        <w:pStyle w:val="NormalWeb"/>
        <w:shd w:val="clear" w:color="auto" w:fill="FFFFFF"/>
        <w:spacing w:before="0" w:after="300" w:line="360" w:lineRule="auto"/>
        <w:jc w:val="both"/>
        <w:rPr>
          <w:color w:val="000000"/>
          <w:lang w:val="sk-SK"/>
        </w:rPr>
      </w:pPr>
      <w:r w:rsidRPr="00930BA0">
        <w:rPr>
          <w:color w:val="000000"/>
          <w:lang w:val="sk-SK"/>
        </w:rPr>
        <w:t>V súlade s regulačnými požiadavkami má finančná inštitúcia zavedený účinný systém vnútornej kontroly, pričom povinnosti súvisiace s vnútornou kontrolou sa týkajú všetkých úrovní organizačnej štruktúry spoločnosti, ktoré vykonáva dohľad aj nad plnením povinností finančnej inštitúcie, agentov a jednotlivých zamestnancov v oblasti ochrany pred legalizáciou príjmov z trestnej činnosti a financovaním terorizmu. V rámci uvedeného systému vnútornej kontroly je minimálne raz ročne vykonávaná zamestnancom zodpovedným za výkon vnútornej kontroly špecializovaná kontrola plnenia a dodržiavania programu AML a iných vnútorných predpisov v tejto oblasti, v rámci ktorej sa overujú prijaté postupy na účely ochrany pred legalizáciou alebo financovaním terorizmu, ako aj výkon povinností zamestnancami.</w:t>
      </w:r>
    </w:p>
    <w:p w14:paraId="03CBD7CA" w14:textId="77777777" w:rsidR="00996EF7" w:rsidRPr="00930BA0" w:rsidRDefault="00996EF7" w:rsidP="00996EF7">
      <w:pPr>
        <w:pStyle w:val="NormalWeb"/>
        <w:shd w:val="clear" w:color="auto" w:fill="FFFFFF"/>
        <w:spacing w:before="0" w:after="300" w:line="360" w:lineRule="auto"/>
        <w:rPr>
          <w:b/>
          <w:bCs/>
          <w:color w:val="EA4E00"/>
          <w:lang w:val="sk-SK"/>
        </w:rPr>
      </w:pPr>
      <w:r w:rsidRPr="00930BA0">
        <w:rPr>
          <w:b/>
          <w:bCs/>
          <w:color w:val="EA4E00"/>
          <w:lang w:val="sk-SK"/>
        </w:rPr>
        <w:t>8. ZÁVEREČNÉ USTANOVENIA</w:t>
      </w:r>
    </w:p>
    <w:p w14:paraId="3707982D" w14:textId="20886875" w:rsidR="00B35036" w:rsidRPr="007C7BF8" w:rsidRDefault="00996EF7" w:rsidP="00903231">
      <w:pPr>
        <w:pStyle w:val="NormalWeb"/>
        <w:shd w:val="clear" w:color="auto" w:fill="FFFFFF"/>
        <w:spacing w:before="0" w:after="300" w:line="360" w:lineRule="auto"/>
        <w:jc w:val="both"/>
        <w:rPr>
          <w:lang w:val="sk-SK"/>
        </w:rPr>
      </w:pPr>
      <w:r w:rsidRPr="00930BA0">
        <w:rPr>
          <w:color w:val="000000"/>
          <w:lang w:val="sk-SK"/>
        </w:rPr>
        <w:t xml:space="preserve">Vyššie uvedené základné princípy a zásady Koncepcie ochrany sú rozpracované a konkretizované v interných predpisoch za účelom podrobného popisu realizácie opatrení na prevenciu a odhaľovanie pokusov o legalizáciu príjmov z trestnej činnosti a financovanie terorizmu. Najdôležitejším interným predpisom, ktorým je Koncepcia ochrany vykonávaná, je Program AML. Koncepcia ochrany a postupy rozpracované v interných predpisoch z nej vyplývajúce sú platné a záväzné pre všetkých zamestnancov RIA PAYMENT INSTITUTION EP, S.A.U. Koncepcia je záväzná pre </w:t>
      </w:r>
      <w:r w:rsidR="004615FF" w:rsidRPr="00930BA0">
        <w:rPr>
          <w:color w:val="000000"/>
          <w:lang w:val="sk-SK"/>
        </w:rPr>
        <w:t>všetkých</w:t>
      </w:r>
      <w:r w:rsidRPr="00930BA0">
        <w:rPr>
          <w:color w:val="000000"/>
          <w:lang w:val="sk-SK"/>
        </w:rPr>
        <w:t xml:space="preserve"> zamestnanco</w:t>
      </w:r>
      <w:r w:rsidR="004615FF">
        <w:rPr>
          <w:color w:val="000000"/>
          <w:lang w:val="sk-SK"/>
        </w:rPr>
        <w:t>v</w:t>
      </w:r>
      <w:r w:rsidRPr="00930BA0">
        <w:rPr>
          <w:color w:val="000000"/>
          <w:lang w:val="sk-SK"/>
        </w:rPr>
        <w:t xml:space="preserve"> finančnej inštitúcie ako aj agentov a je verejne dostupná na každom mieste agenta. </w:t>
      </w:r>
    </w:p>
    <w:sectPr w:rsidR="00B35036" w:rsidRPr="007C7BF8" w:rsidSect="00C67B84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440" w:bottom="1440" w:left="1440" w:header="720" w:footer="72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130B" w14:textId="77777777" w:rsidR="00757519" w:rsidRDefault="00757519">
      <w:r>
        <w:separator/>
      </w:r>
    </w:p>
  </w:endnote>
  <w:endnote w:type="continuationSeparator" w:id="0">
    <w:p w14:paraId="7EFC8596" w14:textId="77777777" w:rsidR="00757519" w:rsidRDefault="0075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C879" w14:textId="77777777" w:rsidR="009F7922" w:rsidRDefault="009F7922" w:rsidP="00773F27">
    <w:pPr>
      <w:pStyle w:val="Footer"/>
      <w:jc w:val="center"/>
      <w:rPr>
        <w:rFonts w:ascii="Garamond" w:hAnsi="Garamond"/>
        <w:bCs/>
        <w:smallCaps/>
        <w:sz w:val="20"/>
        <w:lang w:val="cs-CZ"/>
      </w:rPr>
    </w:pPr>
  </w:p>
  <w:p w14:paraId="0D46FDD7" w14:textId="44B84A01" w:rsidR="00773F27" w:rsidRDefault="00EC0880" w:rsidP="00EC0880">
    <w:pPr>
      <w:pStyle w:val="Footer"/>
      <w:jc w:val="center"/>
    </w:pPr>
    <w:r>
      <w:rPr>
        <w:noProof/>
      </w:rPr>
      <w:drawing>
        <wp:inline distT="0" distB="0" distL="0" distR="0" wp14:anchorId="6CFBEA84" wp14:editId="1760C836">
          <wp:extent cx="1308100" cy="368300"/>
          <wp:effectExtent l="0" t="0" r="6350" b="0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0484" w14:textId="6C79660D" w:rsidR="00E524F4" w:rsidRPr="00773F27" w:rsidRDefault="00EC0880" w:rsidP="00EC0880">
    <w:pPr>
      <w:pStyle w:val="Footer"/>
      <w:jc w:val="center"/>
    </w:pPr>
    <w:r>
      <w:rPr>
        <w:noProof/>
      </w:rPr>
      <w:drawing>
        <wp:inline distT="0" distB="0" distL="0" distR="0" wp14:anchorId="084CFB02" wp14:editId="0C463FFD">
          <wp:extent cx="1308100" cy="368300"/>
          <wp:effectExtent l="0" t="0" r="6350" b="0"/>
          <wp:docPr id="337416616" name="Picture 337416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7A67" w14:textId="77777777" w:rsidR="00757519" w:rsidRDefault="00757519">
      <w:r>
        <w:separator/>
      </w:r>
    </w:p>
  </w:footnote>
  <w:footnote w:type="continuationSeparator" w:id="0">
    <w:p w14:paraId="744B0277" w14:textId="77777777" w:rsidR="00757519" w:rsidRDefault="0075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6110" w14:textId="0DC7E0D4" w:rsidR="00E524F4" w:rsidRDefault="00EC0880">
    <w:pPr>
      <w:pStyle w:val="Header"/>
      <w:jc w:val="right"/>
    </w:pPr>
    <w:r w:rsidRPr="00CE3ADE">
      <w:rPr>
        <w:rFonts w:ascii="Gill Sans MT" w:hAnsi="Gill Sans MT"/>
        <w:b/>
        <w:bCs/>
        <w:noProof/>
        <w:color w:val="1F497D"/>
        <w:sz w:val="72"/>
        <w:szCs w:val="72"/>
      </w:rPr>
      <w:drawing>
        <wp:anchor distT="0" distB="0" distL="114300" distR="114300" simplePos="0" relativeHeight="251663360" behindDoc="0" locked="0" layoutInCell="1" allowOverlap="1" wp14:anchorId="3D51AF9B" wp14:editId="7FEBA28C">
          <wp:simplePos x="0" y="0"/>
          <wp:positionH relativeFrom="page">
            <wp:posOffset>5734050</wp:posOffset>
          </wp:positionH>
          <wp:positionV relativeFrom="paragraph">
            <wp:posOffset>-292100</wp:posOffset>
          </wp:positionV>
          <wp:extent cx="1441450" cy="781050"/>
          <wp:effectExtent l="0" t="0" r="0" b="0"/>
          <wp:wrapNone/>
          <wp:docPr id="757673193" name="Picture 75767319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D05CF5" w14:textId="789FF859" w:rsidR="00E524F4" w:rsidRDefault="00EC0880" w:rsidP="00EC0880">
    <w:pPr>
      <w:pStyle w:val="Header"/>
      <w:tabs>
        <w:tab w:val="left" w:pos="2410"/>
      </w:tabs>
    </w:pPr>
    <w:r>
      <w:tab/>
    </w:r>
    <w:r>
      <w:tab/>
    </w:r>
    <w:r>
      <w:tab/>
    </w:r>
  </w:p>
  <w:p w14:paraId="348AFB0C" w14:textId="77777777" w:rsidR="00E524F4" w:rsidRDefault="00E524F4">
    <w:pPr>
      <w:pStyle w:val="Header"/>
      <w:rPr>
        <w:sz w:val="3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E52" w14:textId="4FC4DB87" w:rsidR="00E524F4" w:rsidRDefault="00EC0880">
    <w:pPr>
      <w:pStyle w:val="Header"/>
      <w:rPr>
        <w:sz w:val="20"/>
      </w:rPr>
    </w:pPr>
    <w:r w:rsidRPr="00CE3ADE">
      <w:rPr>
        <w:rFonts w:ascii="Gill Sans MT" w:hAnsi="Gill Sans MT"/>
        <w:b/>
        <w:bCs/>
        <w:noProof/>
        <w:color w:val="1F497D"/>
        <w:sz w:val="72"/>
        <w:szCs w:val="72"/>
      </w:rPr>
      <w:drawing>
        <wp:anchor distT="0" distB="0" distL="114300" distR="114300" simplePos="0" relativeHeight="251659264" behindDoc="0" locked="0" layoutInCell="1" allowOverlap="1" wp14:anchorId="6BDDFAF9" wp14:editId="20EF6C9D">
          <wp:simplePos x="0" y="0"/>
          <wp:positionH relativeFrom="page">
            <wp:posOffset>5892800</wp:posOffset>
          </wp:positionH>
          <wp:positionV relativeFrom="paragraph">
            <wp:posOffset>-323850</wp:posOffset>
          </wp:positionV>
          <wp:extent cx="1441450" cy="781050"/>
          <wp:effectExtent l="0" t="0" r="0" b="0"/>
          <wp:wrapNone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7CD6"/>
    <w:multiLevelType w:val="hybridMultilevel"/>
    <w:tmpl w:val="DFD4696A"/>
    <w:lvl w:ilvl="0" w:tplc="268297EA">
      <w:start w:val="1"/>
      <w:numFmt w:val="bullet"/>
      <w:lvlText w:val="-"/>
      <w:lvlJc w:val="left"/>
      <w:pPr>
        <w:ind w:left="36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5D12829"/>
    <w:multiLevelType w:val="multilevel"/>
    <w:tmpl w:val="F0467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83FA0"/>
    <w:multiLevelType w:val="hybridMultilevel"/>
    <w:tmpl w:val="438CAA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444318">
    <w:abstractNumId w:val="2"/>
  </w:num>
  <w:num w:numId="2" w16cid:durableId="1967194315">
    <w:abstractNumId w:val="0"/>
  </w:num>
  <w:num w:numId="3" w16cid:durableId="128315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00"/>
    <w:rsid w:val="00011DB1"/>
    <w:rsid w:val="000B3F4C"/>
    <w:rsid w:val="001061F2"/>
    <w:rsid w:val="00110193"/>
    <w:rsid w:val="00115612"/>
    <w:rsid w:val="00115D4F"/>
    <w:rsid w:val="00136800"/>
    <w:rsid w:val="00151A90"/>
    <w:rsid w:val="001C39A1"/>
    <w:rsid w:val="00240A22"/>
    <w:rsid w:val="00391140"/>
    <w:rsid w:val="003E5C79"/>
    <w:rsid w:val="003F592E"/>
    <w:rsid w:val="004615FF"/>
    <w:rsid w:val="004749D3"/>
    <w:rsid w:val="00507DEA"/>
    <w:rsid w:val="00560097"/>
    <w:rsid w:val="00587841"/>
    <w:rsid w:val="005C5678"/>
    <w:rsid w:val="005C5EED"/>
    <w:rsid w:val="005E3810"/>
    <w:rsid w:val="005F2E6D"/>
    <w:rsid w:val="00694D3F"/>
    <w:rsid w:val="006F7D93"/>
    <w:rsid w:val="00757519"/>
    <w:rsid w:val="00773F27"/>
    <w:rsid w:val="00775915"/>
    <w:rsid w:val="00791111"/>
    <w:rsid w:val="007A77EC"/>
    <w:rsid w:val="007C7BF8"/>
    <w:rsid w:val="007D3525"/>
    <w:rsid w:val="007D549B"/>
    <w:rsid w:val="007D627F"/>
    <w:rsid w:val="00804047"/>
    <w:rsid w:val="008460F2"/>
    <w:rsid w:val="008876C8"/>
    <w:rsid w:val="008C6F75"/>
    <w:rsid w:val="00903231"/>
    <w:rsid w:val="009050D5"/>
    <w:rsid w:val="00935809"/>
    <w:rsid w:val="00941BF2"/>
    <w:rsid w:val="00996EF7"/>
    <w:rsid w:val="009C2362"/>
    <w:rsid w:val="009E21A0"/>
    <w:rsid w:val="009F7922"/>
    <w:rsid w:val="00A20035"/>
    <w:rsid w:val="00A21D94"/>
    <w:rsid w:val="00A707B8"/>
    <w:rsid w:val="00A84509"/>
    <w:rsid w:val="00AB68AF"/>
    <w:rsid w:val="00B35036"/>
    <w:rsid w:val="00B364D6"/>
    <w:rsid w:val="00B47B8F"/>
    <w:rsid w:val="00B83647"/>
    <w:rsid w:val="00BB3BF8"/>
    <w:rsid w:val="00BF36DF"/>
    <w:rsid w:val="00BF5ECC"/>
    <w:rsid w:val="00C12BA8"/>
    <w:rsid w:val="00C24B7E"/>
    <w:rsid w:val="00C559B5"/>
    <w:rsid w:val="00C65003"/>
    <w:rsid w:val="00C67B84"/>
    <w:rsid w:val="00CD7A18"/>
    <w:rsid w:val="00D0070E"/>
    <w:rsid w:val="00D06DEB"/>
    <w:rsid w:val="00D446C5"/>
    <w:rsid w:val="00D653B2"/>
    <w:rsid w:val="00DB6DFB"/>
    <w:rsid w:val="00DF4FD9"/>
    <w:rsid w:val="00E01E33"/>
    <w:rsid w:val="00E524F4"/>
    <w:rsid w:val="00E75E8D"/>
    <w:rsid w:val="00EA7758"/>
    <w:rsid w:val="00EC0880"/>
    <w:rsid w:val="00EF1AD8"/>
    <w:rsid w:val="00F731DF"/>
    <w:rsid w:val="00F92714"/>
    <w:rsid w:val="00FA6D4C"/>
    <w:rsid w:val="00FB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89D86"/>
  <w15:chartTrackingRefBased/>
  <w15:docId w15:val="{3652E930-0710-48F9-844A-AE768BDE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B84"/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C67B84"/>
    <w:pPr>
      <w:keepNext/>
      <w:tabs>
        <w:tab w:val="left" w:pos="4080"/>
      </w:tabs>
      <w:autoSpaceDE w:val="0"/>
      <w:autoSpaceDN w:val="0"/>
      <w:adjustRightInd w:val="0"/>
      <w:spacing w:line="360" w:lineRule="auto"/>
      <w:outlineLvl w:val="3"/>
    </w:pPr>
    <w:rPr>
      <w:rFonts w:ascii="Garamond" w:hAnsi="Garamond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7B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7B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36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35036"/>
    <w:pPr>
      <w:tabs>
        <w:tab w:val="left" w:pos="-720"/>
      </w:tabs>
      <w:suppressAutoHyphens/>
      <w:jc w:val="both"/>
    </w:pPr>
    <w:rPr>
      <w:rFonts w:ascii="Times New Roman" w:hAnsi="Times New Roman"/>
      <w:spacing w:val="-2"/>
      <w:sz w:val="22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B35036"/>
    <w:rPr>
      <w:spacing w:val="-2"/>
      <w:sz w:val="22"/>
      <w:lang w:val="pl-PL" w:eastAsia="pl-PL"/>
    </w:rPr>
  </w:style>
  <w:style w:type="paragraph" w:customStyle="1" w:styleId="albekezdes">
    <w:name w:val="albekezdes"/>
    <w:basedOn w:val="Normal"/>
    <w:rsid w:val="00B35036"/>
    <w:pPr>
      <w:spacing w:before="480" w:after="240"/>
      <w:ind w:left="1418" w:hanging="851"/>
      <w:jc w:val="both"/>
    </w:pPr>
    <w:rPr>
      <w:rFonts w:ascii="Times New Roman" w:hAnsi="Times New Roman"/>
      <w:sz w:val="26"/>
      <w:lang w:val="hu-HU"/>
    </w:rPr>
  </w:style>
  <w:style w:type="paragraph" w:styleId="NormalWeb">
    <w:name w:val="Normal (Web)"/>
    <w:basedOn w:val="Normal"/>
    <w:unhideWhenUsed/>
    <w:rsid w:val="00B3503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bekezdes">
    <w:name w:val="fobekezdes"/>
    <w:basedOn w:val="Normal"/>
    <w:rsid w:val="00B35036"/>
    <w:pPr>
      <w:spacing w:before="480" w:after="240"/>
      <w:ind w:left="567" w:hanging="567"/>
      <w:jc w:val="both"/>
    </w:pPr>
    <w:rPr>
      <w:rFonts w:ascii="Times New Roman" w:hAnsi="Times New Roman"/>
      <w:b/>
      <w:sz w:val="26"/>
      <w:lang w:val="hu-HU"/>
    </w:rPr>
  </w:style>
  <w:style w:type="paragraph" w:customStyle="1" w:styleId="datum">
    <w:name w:val="datum"/>
    <w:basedOn w:val="Normal"/>
    <w:rsid w:val="00B35036"/>
    <w:pPr>
      <w:spacing w:before="720" w:after="1680"/>
      <w:jc w:val="both"/>
    </w:pPr>
    <w:rPr>
      <w:rFonts w:ascii="Times New Roman" w:hAnsi="Times New Roman"/>
      <w:sz w:val="26"/>
      <w:lang w:val="hu-HU"/>
    </w:rPr>
  </w:style>
  <w:style w:type="paragraph" w:styleId="ListParagraph">
    <w:name w:val="List Paragraph"/>
    <w:basedOn w:val="Normal"/>
    <w:rsid w:val="00996EF7"/>
    <w:pPr>
      <w:suppressAutoHyphens/>
      <w:autoSpaceDN w:val="0"/>
      <w:spacing w:after="160" w:line="247" w:lineRule="auto"/>
      <w:ind w:left="720"/>
    </w:pPr>
    <w:rPr>
      <w:rFonts w:ascii="Calibri" w:eastAsia="Calibri" w:hAnsi="Calibri"/>
      <w:sz w:val="22"/>
      <w:szCs w:val="22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996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EF7"/>
    <w:pPr>
      <w:suppressAutoHyphens/>
      <w:autoSpaceDN w:val="0"/>
      <w:spacing w:after="160"/>
    </w:pPr>
    <w:rPr>
      <w:rFonts w:ascii="Calibri" w:eastAsia="Calibri" w:hAnsi="Calibri"/>
      <w:sz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EF7"/>
    <w:rPr>
      <w:rFonts w:ascii="Calibri" w:eastAsia="Calibri" w:hAnsi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70B.75A1B48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70B.75A1B4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Euronet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jkosianova</dc:creator>
  <cp:keywords/>
  <cp:lastModifiedBy>Kseniia Karasova</cp:lastModifiedBy>
  <cp:revision>10</cp:revision>
  <cp:lastPrinted>2015-02-25T13:29:00Z</cp:lastPrinted>
  <dcterms:created xsi:type="dcterms:W3CDTF">2022-06-29T13:15:00Z</dcterms:created>
  <dcterms:modified xsi:type="dcterms:W3CDTF">2023-07-31T13:48:00Z</dcterms:modified>
</cp:coreProperties>
</file>